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35" w:type="dxa"/>
        <w:tblInd w:w="-743" w:type="dxa"/>
        <w:tblCellMar>
          <w:left w:w="0" w:type="dxa"/>
          <w:right w:w="0" w:type="dxa"/>
        </w:tblCellMar>
        <w:tblLook w:val="04A0"/>
      </w:tblPr>
      <w:tblGrid>
        <w:gridCol w:w="1985"/>
        <w:gridCol w:w="6804"/>
        <w:gridCol w:w="3544"/>
        <w:gridCol w:w="3402"/>
      </w:tblGrid>
      <w:tr w:rsidR="00391CB9" w:rsidRPr="00391CB9" w:rsidTr="001430C1">
        <w:trPr>
          <w:trHeight w:val="595"/>
        </w:trPr>
        <w:tc>
          <w:tcPr>
            <w:tcW w:w="1985" w:type="dxa"/>
            <w:tcBorders>
              <w:top w:val="single" w:sz="8" w:space="0" w:color="FFFFFF"/>
              <w:left w:val="single" w:sz="8" w:space="0" w:color="FFFFFF"/>
              <w:bottom w:val="single" w:sz="24" w:space="0" w:color="FFFFFF"/>
              <w:right w:val="single" w:sz="8" w:space="0" w:color="FFFFFF"/>
            </w:tcBorders>
            <w:shd w:val="clear" w:color="auto" w:fill="4F81BD"/>
            <w:tcMar>
              <w:top w:w="13" w:type="dxa"/>
              <w:left w:w="108" w:type="dxa"/>
              <w:bottom w:w="0" w:type="dxa"/>
              <w:right w:w="108" w:type="dxa"/>
            </w:tcMar>
            <w:hideMark/>
          </w:tcPr>
          <w:p w:rsidR="00000000" w:rsidRPr="00391CB9" w:rsidRDefault="00391CB9" w:rsidP="00391CB9">
            <w:r w:rsidRPr="00391CB9">
              <w:rPr>
                <w:b/>
                <w:bCs/>
              </w:rPr>
              <w:t xml:space="preserve">Method of Finance </w:t>
            </w:r>
          </w:p>
        </w:tc>
        <w:tc>
          <w:tcPr>
            <w:tcW w:w="6804" w:type="dxa"/>
            <w:tcBorders>
              <w:top w:val="single" w:sz="8" w:space="0" w:color="FFFFFF"/>
              <w:left w:val="single" w:sz="8" w:space="0" w:color="FFFFFF"/>
              <w:bottom w:val="single" w:sz="24" w:space="0" w:color="FFFFFF"/>
              <w:right w:val="single" w:sz="8" w:space="0" w:color="FFFFFF"/>
            </w:tcBorders>
            <w:shd w:val="clear" w:color="auto" w:fill="4F81BD"/>
            <w:tcMar>
              <w:top w:w="13" w:type="dxa"/>
              <w:left w:w="108" w:type="dxa"/>
              <w:bottom w:w="0" w:type="dxa"/>
              <w:right w:w="108" w:type="dxa"/>
            </w:tcMar>
            <w:hideMark/>
          </w:tcPr>
          <w:p w:rsidR="00000000" w:rsidRPr="00391CB9" w:rsidRDefault="00391CB9" w:rsidP="00391CB9">
            <w:r w:rsidRPr="00391CB9">
              <w:rPr>
                <w:b/>
                <w:bCs/>
              </w:rPr>
              <w:t xml:space="preserve">Definition </w:t>
            </w:r>
          </w:p>
        </w:tc>
        <w:tc>
          <w:tcPr>
            <w:tcW w:w="3544" w:type="dxa"/>
            <w:tcBorders>
              <w:top w:val="single" w:sz="8" w:space="0" w:color="FFFFFF"/>
              <w:left w:val="single" w:sz="8" w:space="0" w:color="FFFFFF"/>
              <w:bottom w:val="single" w:sz="24" w:space="0" w:color="FFFFFF"/>
              <w:right w:val="single" w:sz="8" w:space="0" w:color="FFFFFF"/>
            </w:tcBorders>
            <w:shd w:val="clear" w:color="auto" w:fill="4F81BD"/>
            <w:tcMar>
              <w:top w:w="13" w:type="dxa"/>
              <w:left w:w="108" w:type="dxa"/>
              <w:bottom w:w="0" w:type="dxa"/>
              <w:right w:w="108" w:type="dxa"/>
            </w:tcMar>
            <w:hideMark/>
          </w:tcPr>
          <w:p w:rsidR="00000000" w:rsidRPr="00391CB9" w:rsidRDefault="00391CB9" w:rsidP="00391CB9">
            <w:r w:rsidRPr="00391CB9">
              <w:rPr>
                <w:b/>
                <w:bCs/>
              </w:rPr>
              <w:t xml:space="preserve">Advantage of Use </w:t>
            </w:r>
          </w:p>
        </w:tc>
        <w:tc>
          <w:tcPr>
            <w:tcW w:w="3402" w:type="dxa"/>
            <w:tcBorders>
              <w:top w:val="single" w:sz="8" w:space="0" w:color="FFFFFF"/>
              <w:left w:val="single" w:sz="8" w:space="0" w:color="FFFFFF"/>
              <w:bottom w:val="single" w:sz="24" w:space="0" w:color="FFFFFF"/>
              <w:right w:val="single" w:sz="8" w:space="0" w:color="FFFFFF"/>
            </w:tcBorders>
            <w:shd w:val="clear" w:color="auto" w:fill="4F81BD"/>
            <w:tcMar>
              <w:top w:w="13" w:type="dxa"/>
              <w:left w:w="108" w:type="dxa"/>
              <w:bottom w:w="0" w:type="dxa"/>
              <w:right w:w="108" w:type="dxa"/>
            </w:tcMar>
            <w:hideMark/>
          </w:tcPr>
          <w:p w:rsidR="00000000" w:rsidRPr="00391CB9" w:rsidRDefault="00391CB9" w:rsidP="00391CB9">
            <w:r w:rsidRPr="00391CB9">
              <w:rPr>
                <w:b/>
                <w:bCs/>
              </w:rPr>
              <w:t xml:space="preserve">Disadvantage of Use </w:t>
            </w:r>
          </w:p>
        </w:tc>
      </w:tr>
      <w:tr w:rsidR="00391CB9" w:rsidRPr="00391CB9" w:rsidTr="001430C1">
        <w:trPr>
          <w:trHeight w:val="595"/>
        </w:trPr>
        <w:tc>
          <w:tcPr>
            <w:tcW w:w="1985" w:type="dxa"/>
            <w:tcBorders>
              <w:top w:val="single" w:sz="24" w:space="0" w:color="FFFFFF"/>
              <w:left w:val="single" w:sz="8" w:space="0" w:color="FFFFFF"/>
              <w:bottom w:val="single" w:sz="8" w:space="0" w:color="FFFFFF"/>
              <w:right w:val="single" w:sz="8" w:space="0" w:color="FFFFFF"/>
            </w:tcBorders>
            <w:shd w:val="clear" w:color="auto" w:fill="D0D8E8"/>
            <w:tcMar>
              <w:top w:w="13" w:type="dxa"/>
              <w:left w:w="108" w:type="dxa"/>
              <w:bottom w:w="0" w:type="dxa"/>
              <w:right w:w="108" w:type="dxa"/>
            </w:tcMar>
            <w:hideMark/>
          </w:tcPr>
          <w:p w:rsidR="00000000" w:rsidRPr="00391CB9" w:rsidRDefault="00391CB9" w:rsidP="00391CB9">
            <w:r w:rsidRPr="00391CB9">
              <w:t xml:space="preserve">Owners money </w:t>
            </w:r>
          </w:p>
        </w:tc>
        <w:tc>
          <w:tcPr>
            <w:tcW w:w="680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391CB9" w:rsidRDefault="00391CB9" w:rsidP="00391CB9">
            <w:r w:rsidRPr="00391CB9">
              <w:t xml:space="preserve">Internal </w:t>
            </w:r>
            <w:r>
              <w:t xml:space="preserve"> - This is the most common form of financing a private company, by using the funds available in a bank account of the owner to finance expansion. This personal money is limited of course to the wealth of the owner.</w:t>
            </w:r>
          </w:p>
        </w:tc>
        <w:tc>
          <w:tcPr>
            <w:tcW w:w="354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r>
              <w:t>Financially Limited</w:t>
            </w:r>
            <w:r>
              <w:br/>
              <w:t>Readily available</w:t>
            </w:r>
            <w:r>
              <w:br/>
              <w:t>Confidence in the company if the owner invests</w:t>
            </w:r>
            <w:r>
              <w:br/>
              <w:t>Shareholders would agree</w:t>
            </w:r>
          </w:p>
        </w:tc>
        <w:tc>
          <w:tcPr>
            <w:tcW w:w="340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r>
              <w:t>Restricted</w:t>
            </w:r>
            <w:r>
              <w:br/>
              <w:t>One time offer often</w:t>
            </w:r>
            <w:r>
              <w:br/>
              <w:t>Company esteem.</w:t>
            </w:r>
          </w:p>
        </w:tc>
      </w:tr>
      <w:tr w:rsidR="00391CB9" w:rsidRPr="00391CB9" w:rsidTr="001430C1">
        <w:trPr>
          <w:trHeight w:val="2567"/>
        </w:trPr>
        <w:tc>
          <w:tcPr>
            <w:tcW w:w="1985" w:type="dxa"/>
            <w:tcBorders>
              <w:top w:val="single" w:sz="8" w:space="0" w:color="FFFFFF"/>
              <w:left w:val="single" w:sz="8" w:space="0" w:color="FFFFFF"/>
              <w:bottom w:val="single" w:sz="8" w:space="0" w:color="FFFFFF"/>
              <w:right w:val="single" w:sz="8" w:space="0" w:color="FFFFFF"/>
            </w:tcBorders>
            <w:shd w:val="clear" w:color="auto" w:fill="E9EDF4"/>
            <w:tcMar>
              <w:top w:w="13" w:type="dxa"/>
              <w:left w:w="108" w:type="dxa"/>
              <w:bottom w:w="0" w:type="dxa"/>
              <w:right w:w="108" w:type="dxa"/>
            </w:tcMar>
            <w:hideMark/>
          </w:tcPr>
          <w:p w:rsidR="00000000" w:rsidRPr="00391CB9" w:rsidRDefault="00391CB9" w:rsidP="00391CB9">
            <w:r w:rsidRPr="00391CB9">
              <w:t xml:space="preserve">Bank Business Loan </w:t>
            </w:r>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00000" w:rsidRPr="00391CB9" w:rsidRDefault="00391CB9" w:rsidP="00391CB9">
            <w:r w:rsidRPr="00391CB9">
              <w:t xml:space="preserve">Internal Bank </w:t>
            </w:r>
            <w:r>
              <w:t xml:space="preserve"> - </w:t>
            </w:r>
            <w:r w:rsidR="001430C1" w:rsidRPr="00391CB9">
              <w:t>Even established business people can find themselves in this position, if they do not own enough tangible assets, such as houses or other property.</w:t>
            </w:r>
            <w:r>
              <w:t xml:space="preserve"> </w:t>
            </w:r>
            <w:r w:rsidR="001430C1" w:rsidRPr="00391CB9">
              <w:t>Loans are provided at a higher interest rate than a personal loan with a small degree of influence and investment from the Bank to protect their return. You will also fi</w:t>
            </w:r>
            <w:r w:rsidR="001430C1" w:rsidRPr="00391CB9">
              <w:t>nd that many lenders just don't provide seed money. While they're perfectly willing to give a small business loan to help a business grow, they don't want to take the risk of lending to a start up.</w:t>
            </w: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r>
              <w:t>Instant cash</w:t>
            </w:r>
            <w:r>
              <w:br/>
              <w:t>Money may not necessarily be restricted to amount</w:t>
            </w:r>
            <w:r>
              <w:br/>
            </w:r>
            <w:r w:rsidR="001430C1">
              <w:t>Can be negotiated and extended with agreement. Short term boost to the company.</w:t>
            </w:r>
          </w:p>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1430C1" w:rsidP="00391CB9">
            <w:r>
              <w:t>Interest rated can accrue.</w:t>
            </w:r>
            <w:r>
              <w:br/>
              <w:t>When banks decide they can ask for it back</w:t>
            </w:r>
            <w:r>
              <w:br/>
              <w:t>Comes with terms and conditions</w:t>
            </w:r>
            <w:r>
              <w:br/>
              <w:t>Debt with the bank looks back to creditors and shareholders.</w:t>
            </w:r>
            <w:r>
              <w:br/>
            </w:r>
          </w:p>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D0D8E8"/>
            <w:tcMar>
              <w:top w:w="13" w:type="dxa"/>
              <w:left w:w="108" w:type="dxa"/>
              <w:bottom w:w="0" w:type="dxa"/>
              <w:right w:w="108" w:type="dxa"/>
            </w:tcMar>
            <w:hideMark/>
          </w:tcPr>
          <w:p w:rsidR="00000000" w:rsidRPr="00391CB9" w:rsidRDefault="00391CB9" w:rsidP="00391CB9">
            <w:r w:rsidRPr="00391CB9">
              <w:t xml:space="preserve">Business Mortgage </w:t>
            </w:r>
          </w:p>
        </w:tc>
        <w:tc>
          <w:tcPr>
            <w:tcW w:w="680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391CB9" w:rsidRDefault="00391CB9" w:rsidP="001430C1">
            <w:r w:rsidRPr="00391CB9">
              <w:t xml:space="preserve">Internal Bank </w:t>
            </w:r>
            <w:r>
              <w:t xml:space="preserve"> - </w:t>
            </w:r>
            <w:r w:rsidR="001430C1" w:rsidRPr="001430C1">
              <w:t>A larger agreed amount than a bank loan, specifically for larger businesses. When you take out a business mortgage you are effectively taking out a special type of commercial loan, whereby the lender will gain legal rights over the property in question until you are able to fully repay the loan. For this reason companies need to carefully consider the effects taking out a small business mortgage will have on the finances of their company.</w:t>
            </w:r>
            <w:r w:rsidR="001430C1">
              <w:t xml:space="preserve"> </w:t>
            </w:r>
            <w:r w:rsidR="001430C1" w:rsidRPr="001430C1">
              <w:t xml:space="preserve">Small business mortgages usually last a maximum of 20 years. In order to make a successful application companies need to be able to demonstrate sufficient probability of repayment. Any business and financial plans will help and be prepared for an inspection of the property in order to ascertain market value. In </w:t>
            </w:r>
            <w:r w:rsidR="001430C1" w:rsidRPr="001430C1">
              <w:lastRenderedPageBreak/>
              <w:t>order to make a down payment for a small business mortgage you will generally be asked to provide 20-30 per cent of the purchase price. However some small businesses may only be required to provide much less (although interest rates will reflect this).</w:t>
            </w:r>
          </w:p>
        </w:tc>
        <w:tc>
          <w:tcPr>
            <w:tcW w:w="354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430C1" w:rsidRPr="00391CB9" w:rsidRDefault="001430C1" w:rsidP="001430C1">
            <w:r>
              <w:lastRenderedPageBreak/>
              <w:t>Depending on the business can be a large sum of money</w:t>
            </w:r>
            <w:r>
              <w:br/>
              <w:t>Takes less than two weeks to prepare with the right solicitors and bank</w:t>
            </w:r>
            <w:r>
              <w:br/>
              <w:t>Bank will give mortgage advice and business help to maintain contact with company on repayment plans.</w:t>
            </w:r>
          </w:p>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E9EDF4"/>
            <w:tcMar>
              <w:top w:w="13" w:type="dxa"/>
              <w:left w:w="108" w:type="dxa"/>
              <w:bottom w:w="0" w:type="dxa"/>
              <w:right w:w="108" w:type="dxa"/>
            </w:tcMar>
            <w:hideMark/>
          </w:tcPr>
          <w:p w:rsidR="00000000" w:rsidRPr="00391CB9" w:rsidRDefault="00391CB9" w:rsidP="00391CB9">
            <w:r w:rsidRPr="00391CB9">
              <w:lastRenderedPageBreak/>
              <w:t xml:space="preserve">Venture Capital </w:t>
            </w:r>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00000" w:rsidRPr="00391CB9" w:rsidRDefault="00391CB9" w:rsidP="00391CB9">
            <w:r w:rsidRPr="00391CB9">
              <w:t xml:space="preserve">Internal </w:t>
            </w:r>
            <w:r>
              <w:t xml:space="preserve"> - </w:t>
            </w: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D0D8E8"/>
            <w:tcMar>
              <w:top w:w="13" w:type="dxa"/>
              <w:left w:w="108" w:type="dxa"/>
              <w:bottom w:w="0" w:type="dxa"/>
              <w:right w:w="108" w:type="dxa"/>
            </w:tcMar>
            <w:hideMark/>
          </w:tcPr>
          <w:p w:rsidR="00000000" w:rsidRPr="00391CB9" w:rsidRDefault="00391CB9" w:rsidP="00391CB9">
            <w:r w:rsidRPr="00391CB9">
              <w:t xml:space="preserve">Retained Profit </w:t>
            </w:r>
          </w:p>
        </w:tc>
        <w:tc>
          <w:tcPr>
            <w:tcW w:w="680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391CB9" w:rsidRDefault="00391CB9" w:rsidP="00391CB9">
            <w:r w:rsidRPr="00391CB9">
              <w:t xml:space="preserve">Internal </w:t>
            </w:r>
            <w:r>
              <w:t xml:space="preserve"> - This is using the money stored in the bank from previous profits, the kitty fund.</w:t>
            </w:r>
          </w:p>
        </w:tc>
        <w:tc>
          <w:tcPr>
            <w:tcW w:w="354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E9EDF4"/>
            <w:tcMar>
              <w:top w:w="13" w:type="dxa"/>
              <w:left w:w="108" w:type="dxa"/>
              <w:bottom w:w="0" w:type="dxa"/>
              <w:right w:w="108" w:type="dxa"/>
            </w:tcMar>
            <w:hideMark/>
          </w:tcPr>
          <w:p w:rsidR="00000000" w:rsidRPr="00391CB9" w:rsidRDefault="00391CB9" w:rsidP="00391CB9">
            <w:r w:rsidRPr="00391CB9">
              <w:t xml:space="preserve">Debentures </w:t>
            </w:r>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00000" w:rsidRPr="00391CB9" w:rsidRDefault="00391CB9" w:rsidP="00391CB9">
            <w:r w:rsidRPr="00391CB9">
              <w:t xml:space="preserve">External beyond </w:t>
            </w:r>
            <w:r>
              <w:t xml:space="preserve"> - </w:t>
            </w: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D0D8E8"/>
            <w:tcMar>
              <w:top w:w="13" w:type="dxa"/>
              <w:left w:w="108" w:type="dxa"/>
              <w:bottom w:w="0" w:type="dxa"/>
              <w:right w:w="108" w:type="dxa"/>
            </w:tcMar>
            <w:hideMark/>
          </w:tcPr>
          <w:p w:rsidR="00000000" w:rsidRPr="00391CB9" w:rsidRDefault="00391CB9" w:rsidP="00391CB9">
            <w:r w:rsidRPr="00391CB9">
              <w:t xml:space="preserve">Grants </w:t>
            </w:r>
          </w:p>
        </w:tc>
        <w:tc>
          <w:tcPr>
            <w:tcW w:w="680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391CB9" w:rsidRDefault="00391CB9" w:rsidP="00391CB9">
            <w:r w:rsidRPr="00391CB9">
              <w:t xml:space="preserve">External beyond </w:t>
            </w:r>
            <w:r>
              <w:t xml:space="preserve"> - </w:t>
            </w:r>
          </w:p>
        </w:tc>
        <w:tc>
          <w:tcPr>
            <w:tcW w:w="354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E9EDF4"/>
            <w:tcMar>
              <w:top w:w="13" w:type="dxa"/>
              <w:left w:w="108" w:type="dxa"/>
              <w:bottom w:w="0" w:type="dxa"/>
              <w:right w:w="108" w:type="dxa"/>
            </w:tcMar>
            <w:hideMark/>
          </w:tcPr>
          <w:p w:rsidR="00000000" w:rsidRPr="00391CB9" w:rsidRDefault="00391CB9" w:rsidP="00391CB9">
            <w:r w:rsidRPr="00391CB9">
              <w:t xml:space="preserve">Overdraft </w:t>
            </w:r>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00000" w:rsidRPr="00391CB9" w:rsidRDefault="00391CB9" w:rsidP="00391CB9">
            <w:r w:rsidRPr="00391CB9">
              <w:t xml:space="preserve">Internal Bank </w:t>
            </w:r>
            <w:r>
              <w:t xml:space="preserve"> - </w:t>
            </w: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D0D8E8"/>
            <w:tcMar>
              <w:top w:w="13" w:type="dxa"/>
              <w:left w:w="108" w:type="dxa"/>
              <w:bottom w:w="0" w:type="dxa"/>
              <w:right w:w="108" w:type="dxa"/>
            </w:tcMar>
            <w:hideMark/>
          </w:tcPr>
          <w:p w:rsidR="00000000" w:rsidRPr="00391CB9" w:rsidRDefault="00391CB9" w:rsidP="00391CB9">
            <w:r w:rsidRPr="00391CB9">
              <w:t xml:space="preserve">Trade Credit </w:t>
            </w:r>
          </w:p>
        </w:tc>
        <w:tc>
          <w:tcPr>
            <w:tcW w:w="680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391CB9" w:rsidRDefault="00391CB9" w:rsidP="00391CB9">
            <w:r w:rsidRPr="00391CB9">
              <w:t xml:space="preserve">Internal </w:t>
            </w:r>
            <w:r>
              <w:t xml:space="preserve"> - </w:t>
            </w:r>
          </w:p>
        </w:tc>
        <w:tc>
          <w:tcPr>
            <w:tcW w:w="354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E9EDF4"/>
            <w:tcMar>
              <w:top w:w="13" w:type="dxa"/>
              <w:left w:w="108" w:type="dxa"/>
              <w:bottom w:w="0" w:type="dxa"/>
              <w:right w:w="108" w:type="dxa"/>
            </w:tcMar>
            <w:hideMark/>
          </w:tcPr>
          <w:p w:rsidR="00000000" w:rsidRPr="00391CB9" w:rsidRDefault="00391CB9" w:rsidP="00391CB9">
            <w:r w:rsidRPr="00391CB9">
              <w:t xml:space="preserve">Leasing </w:t>
            </w:r>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00000" w:rsidRPr="00391CB9" w:rsidRDefault="00391CB9" w:rsidP="00391CB9">
            <w:r w:rsidRPr="00391CB9">
              <w:t xml:space="preserve">External Bank </w:t>
            </w:r>
            <w:r>
              <w:t xml:space="preserve"> -</w:t>
            </w: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D0D8E8"/>
            <w:tcMar>
              <w:top w:w="13" w:type="dxa"/>
              <w:left w:w="108" w:type="dxa"/>
              <w:bottom w:w="0" w:type="dxa"/>
              <w:right w:w="108" w:type="dxa"/>
            </w:tcMar>
            <w:hideMark/>
          </w:tcPr>
          <w:p w:rsidR="00000000" w:rsidRPr="00391CB9" w:rsidRDefault="00391CB9" w:rsidP="00391CB9">
            <w:r w:rsidRPr="00391CB9">
              <w:t xml:space="preserve">Share Issue </w:t>
            </w:r>
          </w:p>
        </w:tc>
        <w:tc>
          <w:tcPr>
            <w:tcW w:w="680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391CB9" w:rsidRDefault="00391CB9" w:rsidP="00391CB9">
            <w:r w:rsidRPr="00391CB9">
              <w:t xml:space="preserve">Internal </w:t>
            </w:r>
            <w:r>
              <w:t xml:space="preserve"> -</w:t>
            </w:r>
          </w:p>
        </w:tc>
        <w:tc>
          <w:tcPr>
            <w:tcW w:w="354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E9EDF4"/>
            <w:tcMar>
              <w:top w:w="13" w:type="dxa"/>
              <w:left w:w="108" w:type="dxa"/>
              <w:bottom w:w="0" w:type="dxa"/>
              <w:right w:w="108" w:type="dxa"/>
            </w:tcMar>
            <w:hideMark/>
          </w:tcPr>
          <w:p w:rsidR="00000000" w:rsidRPr="00391CB9" w:rsidRDefault="00391CB9" w:rsidP="00391CB9">
            <w:r w:rsidRPr="00391CB9">
              <w:t xml:space="preserve">Hire Purchase </w:t>
            </w:r>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00000" w:rsidRPr="00391CB9" w:rsidRDefault="00391CB9" w:rsidP="00391CB9">
            <w:r w:rsidRPr="00391CB9">
              <w:t xml:space="preserve">External Bank </w:t>
            </w:r>
            <w:r>
              <w:t xml:space="preserve"> -</w:t>
            </w: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D0D8E8"/>
            <w:tcMar>
              <w:top w:w="13" w:type="dxa"/>
              <w:left w:w="108" w:type="dxa"/>
              <w:bottom w:w="0" w:type="dxa"/>
              <w:right w:w="108" w:type="dxa"/>
            </w:tcMar>
            <w:hideMark/>
          </w:tcPr>
          <w:p w:rsidR="00000000" w:rsidRPr="00391CB9" w:rsidRDefault="00391CB9" w:rsidP="00391CB9">
            <w:r w:rsidRPr="00391CB9">
              <w:lastRenderedPageBreak/>
              <w:t xml:space="preserve">Asset sale </w:t>
            </w:r>
          </w:p>
        </w:tc>
        <w:tc>
          <w:tcPr>
            <w:tcW w:w="680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00000" w:rsidRPr="00391CB9" w:rsidRDefault="00391CB9" w:rsidP="00391CB9">
            <w:r w:rsidRPr="00391CB9">
              <w:t>Internal Beyond</w:t>
            </w:r>
            <w:r>
              <w:t xml:space="preserve"> - </w:t>
            </w:r>
            <w:r w:rsidRPr="00391CB9">
              <w:t xml:space="preserve"> </w:t>
            </w:r>
          </w:p>
        </w:tc>
        <w:tc>
          <w:tcPr>
            <w:tcW w:w="354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91CB9" w:rsidRPr="00391CB9" w:rsidRDefault="00391CB9" w:rsidP="00391CB9"/>
        </w:tc>
      </w:tr>
      <w:tr w:rsidR="00391CB9" w:rsidRPr="00391CB9" w:rsidTr="001430C1">
        <w:trPr>
          <w:trHeight w:val="595"/>
        </w:trPr>
        <w:tc>
          <w:tcPr>
            <w:tcW w:w="1985" w:type="dxa"/>
            <w:tcBorders>
              <w:top w:val="single" w:sz="8" w:space="0" w:color="FFFFFF"/>
              <w:left w:val="single" w:sz="8" w:space="0" w:color="FFFFFF"/>
              <w:bottom w:val="single" w:sz="8" w:space="0" w:color="FFFFFF"/>
              <w:right w:val="single" w:sz="8" w:space="0" w:color="FFFFFF"/>
            </w:tcBorders>
            <w:shd w:val="clear" w:color="auto" w:fill="E9EDF4"/>
            <w:tcMar>
              <w:top w:w="13" w:type="dxa"/>
              <w:left w:w="108" w:type="dxa"/>
              <w:bottom w:w="0" w:type="dxa"/>
              <w:right w:w="108" w:type="dxa"/>
            </w:tcMar>
            <w:hideMark/>
          </w:tcPr>
          <w:p w:rsidR="00000000" w:rsidRPr="00391CB9" w:rsidRDefault="00391CB9" w:rsidP="00391CB9">
            <w:r w:rsidRPr="00391CB9">
              <w:t xml:space="preserve">Factoring </w:t>
            </w:r>
          </w:p>
        </w:tc>
        <w:tc>
          <w:tcPr>
            <w:tcW w:w="680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00000" w:rsidRPr="00391CB9" w:rsidRDefault="00391CB9" w:rsidP="00391CB9">
            <w:r w:rsidRPr="00391CB9">
              <w:t xml:space="preserve">External Bank </w:t>
            </w:r>
            <w:r>
              <w:t xml:space="preserve"> -</w:t>
            </w: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91CB9" w:rsidRPr="00391CB9" w:rsidRDefault="00391CB9" w:rsidP="00391CB9"/>
        </w:tc>
      </w:tr>
    </w:tbl>
    <w:p w:rsidR="00295234" w:rsidRDefault="00295234"/>
    <w:sectPr w:rsidR="00295234" w:rsidSect="00391CB9">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7272A"/>
    <w:multiLevelType w:val="hybridMultilevel"/>
    <w:tmpl w:val="331C0780"/>
    <w:lvl w:ilvl="0" w:tplc="249E2632">
      <w:start w:val="1"/>
      <w:numFmt w:val="bullet"/>
      <w:lvlText w:val="•"/>
      <w:lvlJc w:val="left"/>
      <w:pPr>
        <w:tabs>
          <w:tab w:val="num" w:pos="720"/>
        </w:tabs>
        <w:ind w:left="720" w:hanging="360"/>
      </w:pPr>
      <w:rPr>
        <w:rFonts w:ascii="Arial" w:hAnsi="Arial" w:hint="default"/>
      </w:rPr>
    </w:lvl>
    <w:lvl w:ilvl="1" w:tplc="D55A97B8" w:tentative="1">
      <w:start w:val="1"/>
      <w:numFmt w:val="bullet"/>
      <w:lvlText w:val="•"/>
      <w:lvlJc w:val="left"/>
      <w:pPr>
        <w:tabs>
          <w:tab w:val="num" w:pos="1440"/>
        </w:tabs>
        <w:ind w:left="1440" w:hanging="360"/>
      </w:pPr>
      <w:rPr>
        <w:rFonts w:ascii="Arial" w:hAnsi="Arial" w:hint="default"/>
      </w:rPr>
    </w:lvl>
    <w:lvl w:ilvl="2" w:tplc="1B9EED18" w:tentative="1">
      <w:start w:val="1"/>
      <w:numFmt w:val="bullet"/>
      <w:lvlText w:val="•"/>
      <w:lvlJc w:val="left"/>
      <w:pPr>
        <w:tabs>
          <w:tab w:val="num" w:pos="2160"/>
        </w:tabs>
        <w:ind w:left="2160" w:hanging="360"/>
      </w:pPr>
      <w:rPr>
        <w:rFonts w:ascii="Arial" w:hAnsi="Arial" w:hint="default"/>
      </w:rPr>
    </w:lvl>
    <w:lvl w:ilvl="3" w:tplc="3E022C0C" w:tentative="1">
      <w:start w:val="1"/>
      <w:numFmt w:val="bullet"/>
      <w:lvlText w:val="•"/>
      <w:lvlJc w:val="left"/>
      <w:pPr>
        <w:tabs>
          <w:tab w:val="num" w:pos="2880"/>
        </w:tabs>
        <w:ind w:left="2880" w:hanging="360"/>
      </w:pPr>
      <w:rPr>
        <w:rFonts w:ascii="Arial" w:hAnsi="Arial" w:hint="default"/>
      </w:rPr>
    </w:lvl>
    <w:lvl w:ilvl="4" w:tplc="4C582E1A" w:tentative="1">
      <w:start w:val="1"/>
      <w:numFmt w:val="bullet"/>
      <w:lvlText w:val="•"/>
      <w:lvlJc w:val="left"/>
      <w:pPr>
        <w:tabs>
          <w:tab w:val="num" w:pos="3600"/>
        </w:tabs>
        <w:ind w:left="3600" w:hanging="360"/>
      </w:pPr>
      <w:rPr>
        <w:rFonts w:ascii="Arial" w:hAnsi="Arial" w:hint="default"/>
      </w:rPr>
    </w:lvl>
    <w:lvl w:ilvl="5" w:tplc="E88E432A" w:tentative="1">
      <w:start w:val="1"/>
      <w:numFmt w:val="bullet"/>
      <w:lvlText w:val="•"/>
      <w:lvlJc w:val="left"/>
      <w:pPr>
        <w:tabs>
          <w:tab w:val="num" w:pos="4320"/>
        </w:tabs>
        <w:ind w:left="4320" w:hanging="360"/>
      </w:pPr>
      <w:rPr>
        <w:rFonts w:ascii="Arial" w:hAnsi="Arial" w:hint="default"/>
      </w:rPr>
    </w:lvl>
    <w:lvl w:ilvl="6" w:tplc="0714DB52" w:tentative="1">
      <w:start w:val="1"/>
      <w:numFmt w:val="bullet"/>
      <w:lvlText w:val="•"/>
      <w:lvlJc w:val="left"/>
      <w:pPr>
        <w:tabs>
          <w:tab w:val="num" w:pos="5040"/>
        </w:tabs>
        <w:ind w:left="5040" w:hanging="360"/>
      </w:pPr>
      <w:rPr>
        <w:rFonts w:ascii="Arial" w:hAnsi="Arial" w:hint="default"/>
      </w:rPr>
    </w:lvl>
    <w:lvl w:ilvl="7" w:tplc="5FC81072" w:tentative="1">
      <w:start w:val="1"/>
      <w:numFmt w:val="bullet"/>
      <w:lvlText w:val="•"/>
      <w:lvlJc w:val="left"/>
      <w:pPr>
        <w:tabs>
          <w:tab w:val="num" w:pos="5760"/>
        </w:tabs>
        <w:ind w:left="5760" w:hanging="360"/>
      </w:pPr>
      <w:rPr>
        <w:rFonts w:ascii="Arial" w:hAnsi="Arial" w:hint="default"/>
      </w:rPr>
    </w:lvl>
    <w:lvl w:ilvl="8" w:tplc="572A65D4"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391CB9"/>
    <w:rsid w:val="000D5F4F"/>
    <w:rsid w:val="001430C1"/>
    <w:rsid w:val="00295234"/>
    <w:rsid w:val="002B242C"/>
    <w:rsid w:val="002B4560"/>
    <w:rsid w:val="00391AF4"/>
    <w:rsid w:val="00391CB9"/>
    <w:rsid w:val="003D78CA"/>
    <w:rsid w:val="005A6815"/>
    <w:rsid w:val="005A7191"/>
    <w:rsid w:val="006443A3"/>
    <w:rsid w:val="009F4DE7"/>
    <w:rsid w:val="00A70485"/>
    <w:rsid w:val="00B42314"/>
    <w:rsid w:val="00B64EC2"/>
    <w:rsid w:val="00B859D9"/>
    <w:rsid w:val="00D2130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3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1CB9"/>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91CB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7372639">
      <w:bodyDiv w:val="1"/>
      <w:marLeft w:val="0"/>
      <w:marRight w:val="0"/>
      <w:marTop w:val="0"/>
      <w:marBottom w:val="0"/>
      <w:divBdr>
        <w:top w:val="none" w:sz="0" w:space="0" w:color="auto"/>
        <w:left w:val="none" w:sz="0" w:space="0" w:color="auto"/>
        <w:bottom w:val="none" w:sz="0" w:space="0" w:color="auto"/>
        <w:right w:val="none" w:sz="0" w:space="0" w:color="auto"/>
      </w:divBdr>
    </w:div>
    <w:div w:id="1544948682">
      <w:bodyDiv w:val="1"/>
      <w:marLeft w:val="0"/>
      <w:marRight w:val="0"/>
      <w:marTop w:val="0"/>
      <w:marBottom w:val="0"/>
      <w:divBdr>
        <w:top w:val="none" w:sz="0" w:space="0" w:color="auto"/>
        <w:left w:val="none" w:sz="0" w:space="0" w:color="auto"/>
        <w:bottom w:val="none" w:sz="0" w:space="0" w:color="auto"/>
        <w:right w:val="none" w:sz="0" w:space="0" w:color="auto"/>
      </w:divBdr>
      <w:divsChild>
        <w:div w:id="172110944">
          <w:marLeft w:val="547"/>
          <w:marRight w:val="0"/>
          <w:marTop w:val="96"/>
          <w:marBottom w:val="0"/>
          <w:divBdr>
            <w:top w:val="none" w:sz="0" w:space="0" w:color="auto"/>
            <w:left w:val="none" w:sz="0" w:space="0" w:color="auto"/>
            <w:bottom w:val="none" w:sz="0" w:space="0" w:color="auto"/>
            <w:right w:val="none" w:sz="0" w:space="0" w:color="auto"/>
          </w:divBdr>
        </w:div>
        <w:div w:id="1895118116">
          <w:marLeft w:val="547"/>
          <w:marRight w:val="0"/>
          <w:marTop w:val="96"/>
          <w:marBottom w:val="0"/>
          <w:divBdr>
            <w:top w:val="none" w:sz="0" w:space="0" w:color="auto"/>
            <w:left w:val="none" w:sz="0" w:space="0" w:color="auto"/>
            <w:bottom w:val="none" w:sz="0" w:space="0" w:color="auto"/>
            <w:right w:val="none" w:sz="0" w:space="0" w:color="auto"/>
          </w:divBdr>
        </w:div>
        <w:div w:id="809173358">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Brooke Weston CTC</Company>
  <LinksUpToDate>false</LinksUpToDate>
  <CharactersWithSpaces>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Weston</dc:creator>
  <cp:keywords/>
  <dc:description/>
  <cp:lastModifiedBy>Brooke Weston</cp:lastModifiedBy>
  <cp:revision>1</cp:revision>
  <dcterms:created xsi:type="dcterms:W3CDTF">2009-11-04T20:45:00Z</dcterms:created>
  <dcterms:modified xsi:type="dcterms:W3CDTF">2009-11-04T21:03:00Z</dcterms:modified>
</cp:coreProperties>
</file>